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5CE1C" w14:textId="3DE3855C" w:rsidR="003904F9" w:rsidRDefault="003904F9" w:rsidP="005B3D26">
      <w:pPr>
        <w:spacing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Touax postaví v Hamburku ubytov</w:t>
      </w:r>
      <w:r w:rsidR="00805D99">
        <w:rPr>
          <w:b/>
          <w:sz w:val="28"/>
          <w:szCs w:val="28"/>
        </w:rPr>
        <w:t xml:space="preserve">ání </w:t>
      </w:r>
      <w:r>
        <w:rPr>
          <w:b/>
          <w:sz w:val="28"/>
          <w:szCs w:val="28"/>
        </w:rPr>
        <w:t xml:space="preserve">pro 2 000 </w:t>
      </w:r>
      <w:r w:rsidR="00587009">
        <w:rPr>
          <w:b/>
          <w:sz w:val="28"/>
          <w:szCs w:val="28"/>
        </w:rPr>
        <w:t>uprchlíků</w:t>
      </w:r>
    </w:p>
    <w:p w14:paraId="05029550" w14:textId="4779576A" w:rsidR="003447E5" w:rsidRPr="004446E0" w:rsidRDefault="003447E5" w:rsidP="003447E5">
      <w:pPr>
        <w:spacing w:line="320" w:lineRule="atLeast"/>
        <w:rPr>
          <w:b/>
          <w:sz w:val="28"/>
          <w:szCs w:val="28"/>
        </w:rPr>
      </w:pPr>
    </w:p>
    <w:p w14:paraId="24DD4FB1" w14:textId="064615A8" w:rsidR="00702668" w:rsidRPr="00702668" w:rsidRDefault="00702668" w:rsidP="00702668">
      <w:pPr>
        <w:spacing w:after="200" w:line="360" w:lineRule="auto"/>
        <w:jc w:val="both"/>
        <w:rPr>
          <w:b/>
        </w:rPr>
      </w:pPr>
      <w:r w:rsidRPr="00702668">
        <w:rPr>
          <w:b/>
        </w:rPr>
        <w:t xml:space="preserve">Praha, </w:t>
      </w:r>
      <w:r w:rsidR="002B1A32">
        <w:rPr>
          <w:b/>
        </w:rPr>
        <w:t>14</w:t>
      </w:r>
      <w:r w:rsidRPr="00702668">
        <w:rPr>
          <w:b/>
        </w:rPr>
        <w:t xml:space="preserve">. 10. 2015 – </w:t>
      </w:r>
      <w:r w:rsidR="00B26E01">
        <w:rPr>
          <w:b/>
        </w:rPr>
        <w:t>Divize modulových staveb skupiny Touax</w:t>
      </w:r>
      <w:r w:rsidR="003904F9">
        <w:rPr>
          <w:b/>
        </w:rPr>
        <w:t xml:space="preserve"> získala </w:t>
      </w:r>
      <w:r w:rsidR="005B3D26">
        <w:rPr>
          <w:b/>
        </w:rPr>
        <w:t xml:space="preserve">na začátku října </w:t>
      </w:r>
      <w:r w:rsidR="00DF3D15">
        <w:rPr>
          <w:b/>
        </w:rPr>
        <w:t xml:space="preserve">svou historicky největší prodejní zakázku. Pro město </w:t>
      </w:r>
      <w:r w:rsidR="003904F9">
        <w:rPr>
          <w:b/>
        </w:rPr>
        <w:t xml:space="preserve">Hamburk </w:t>
      </w:r>
      <w:r w:rsidR="00DF3D15">
        <w:rPr>
          <w:b/>
        </w:rPr>
        <w:t xml:space="preserve">postaví 40 </w:t>
      </w:r>
      <w:r w:rsidR="003904F9">
        <w:rPr>
          <w:b/>
        </w:rPr>
        <w:t>modulov</w:t>
      </w:r>
      <w:r w:rsidR="00B26E01">
        <w:rPr>
          <w:b/>
        </w:rPr>
        <w:t>ých</w:t>
      </w:r>
      <w:r w:rsidR="003904F9">
        <w:rPr>
          <w:b/>
        </w:rPr>
        <w:t xml:space="preserve"> </w:t>
      </w:r>
      <w:r w:rsidR="00805D99">
        <w:rPr>
          <w:b/>
        </w:rPr>
        <w:t>dom</w:t>
      </w:r>
      <w:r w:rsidR="00B26E01">
        <w:rPr>
          <w:b/>
        </w:rPr>
        <w:t>ů</w:t>
      </w:r>
      <w:r w:rsidR="00805D99">
        <w:rPr>
          <w:b/>
        </w:rPr>
        <w:t xml:space="preserve"> </w:t>
      </w:r>
      <w:r w:rsidR="00DF3D15">
        <w:rPr>
          <w:b/>
        </w:rPr>
        <w:t>s plochou přes 20 000 m</w:t>
      </w:r>
      <w:r w:rsidR="00DF3D15" w:rsidRPr="00E413C4">
        <w:rPr>
          <w:b/>
          <w:vertAlign w:val="superscript"/>
        </w:rPr>
        <w:t>2</w:t>
      </w:r>
      <w:r w:rsidR="00DF3D15">
        <w:rPr>
          <w:b/>
        </w:rPr>
        <w:t xml:space="preserve"> </w:t>
      </w:r>
      <w:r w:rsidR="003904F9">
        <w:rPr>
          <w:b/>
        </w:rPr>
        <w:t xml:space="preserve">pro </w:t>
      </w:r>
      <w:r w:rsidR="00805D99">
        <w:rPr>
          <w:b/>
        </w:rPr>
        <w:t xml:space="preserve">ubytování </w:t>
      </w:r>
      <w:r w:rsidR="003904F9">
        <w:rPr>
          <w:b/>
        </w:rPr>
        <w:t>uprchlík</w:t>
      </w:r>
      <w:r w:rsidR="00805D99">
        <w:rPr>
          <w:b/>
        </w:rPr>
        <w:t>ů</w:t>
      </w:r>
      <w:r w:rsidR="003904F9">
        <w:rPr>
          <w:b/>
        </w:rPr>
        <w:t xml:space="preserve">. </w:t>
      </w:r>
      <w:r w:rsidR="005B3D26">
        <w:rPr>
          <w:b/>
        </w:rPr>
        <w:t xml:space="preserve">Až </w:t>
      </w:r>
      <w:r w:rsidR="00606745">
        <w:rPr>
          <w:b/>
        </w:rPr>
        <w:t xml:space="preserve">1 100 modulů bude </w:t>
      </w:r>
      <w:r w:rsidR="00606745" w:rsidRPr="00A15840">
        <w:rPr>
          <w:b/>
        </w:rPr>
        <w:t>vyrobeno</w:t>
      </w:r>
      <w:r w:rsidR="00606745">
        <w:rPr>
          <w:b/>
        </w:rPr>
        <w:t xml:space="preserve"> </w:t>
      </w:r>
      <w:r w:rsidRPr="00702668">
        <w:rPr>
          <w:b/>
        </w:rPr>
        <w:t>během příštích devíti měsíců v</w:t>
      </w:r>
      <w:r w:rsidR="00606745">
        <w:rPr>
          <w:b/>
        </w:rPr>
        <w:t xml:space="preserve"> českém </w:t>
      </w:r>
      <w:r w:rsidRPr="00702668">
        <w:rPr>
          <w:b/>
        </w:rPr>
        <w:t xml:space="preserve">závodě v Supíkovicích na </w:t>
      </w:r>
      <w:r w:rsidR="00606745">
        <w:rPr>
          <w:b/>
        </w:rPr>
        <w:t>Jesenicku</w:t>
      </w:r>
      <w:r w:rsidRPr="00702668">
        <w:rPr>
          <w:b/>
        </w:rPr>
        <w:t>.</w:t>
      </w:r>
      <w:r w:rsidR="00587009">
        <w:rPr>
          <w:b/>
        </w:rPr>
        <w:t xml:space="preserve"> </w:t>
      </w:r>
    </w:p>
    <w:p w14:paraId="2CD6690C" w14:textId="02A68D9A" w:rsidR="00E65ED0" w:rsidRDefault="008B0158" w:rsidP="005B3D26">
      <w:pPr>
        <w:spacing w:line="360" w:lineRule="auto"/>
        <w:jc w:val="both"/>
        <w:rPr>
          <w:noProof/>
          <w:lang w:eastAsia="cs-CZ"/>
        </w:rPr>
      </w:pPr>
      <w:r w:rsidRPr="007B350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721DDC" wp14:editId="5369A5D3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2357120" cy="1324610"/>
            <wp:effectExtent l="0" t="0" r="5080" b="8890"/>
            <wp:wrapTight wrapText="bothSides">
              <wp:wrapPolygon edited="0">
                <wp:start x="0" y="0"/>
                <wp:lineTo x="0" y="21434"/>
                <wp:lineTo x="21472" y="21434"/>
                <wp:lineTo x="21472" y="0"/>
                <wp:lineTo x="0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A2F">
        <w:t>Jan Petr, m</w:t>
      </w:r>
      <w:r w:rsidR="00E65ED0">
        <w:t>arketingový ředitel společnosti Touax v České republice</w:t>
      </w:r>
      <w:r w:rsidR="00871A2F">
        <w:t>,</w:t>
      </w:r>
      <w:r w:rsidR="00E65ED0">
        <w:t xml:space="preserve"> k tomu uvádí: </w:t>
      </w:r>
      <w:r w:rsidR="00E65ED0" w:rsidRPr="005B3D26">
        <w:rPr>
          <w:i/>
        </w:rPr>
        <w:t>„</w:t>
      </w:r>
      <w:r w:rsidR="008D7153">
        <w:rPr>
          <w:i/>
        </w:rPr>
        <w:t xml:space="preserve">V Hamburku jsme právě dokončili komplex </w:t>
      </w:r>
      <w:r w:rsidR="00DF3D15">
        <w:rPr>
          <w:i/>
        </w:rPr>
        <w:t xml:space="preserve">devíti </w:t>
      </w:r>
      <w:r w:rsidR="008D7153">
        <w:rPr>
          <w:i/>
        </w:rPr>
        <w:t xml:space="preserve">bytových domů. </w:t>
      </w:r>
      <w:r w:rsidR="00827512">
        <w:rPr>
          <w:i/>
        </w:rPr>
        <w:t xml:space="preserve">Obří zakázka na dalších 40 </w:t>
      </w:r>
      <w:r w:rsidR="00F043BD">
        <w:rPr>
          <w:i/>
        </w:rPr>
        <w:t xml:space="preserve">budov </w:t>
      </w:r>
      <w:r w:rsidR="00827512">
        <w:rPr>
          <w:i/>
        </w:rPr>
        <w:t>je výbornou zprávou pro naše zaměstnance ve výrobním</w:t>
      </w:r>
      <w:bookmarkStart w:id="0" w:name="_GoBack"/>
      <w:bookmarkEnd w:id="0"/>
      <w:r w:rsidR="00827512">
        <w:rPr>
          <w:i/>
        </w:rPr>
        <w:t xml:space="preserve"> závodě v</w:t>
      </w:r>
      <w:r w:rsidR="00F043BD">
        <w:rPr>
          <w:i/>
        </w:rPr>
        <w:t> </w:t>
      </w:r>
      <w:r w:rsidR="00827512">
        <w:rPr>
          <w:i/>
        </w:rPr>
        <w:t>Supíkovicích</w:t>
      </w:r>
      <w:r w:rsidR="00F043BD">
        <w:rPr>
          <w:i/>
        </w:rPr>
        <w:t>, protože v</w:t>
      </w:r>
      <w:r w:rsidR="00827512">
        <w:rPr>
          <w:i/>
        </w:rPr>
        <w:t xml:space="preserve"> současné době máme nasmlouvané </w:t>
      </w:r>
      <w:r w:rsidR="00F043BD">
        <w:rPr>
          <w:i/>
        </w:rPr>
        <w:t xml:space="preserve">dodávky </w:t>
      </w:r>
      <w:r w:rsidR="00370B4D" w:rsidRPr="005B3D26">
        <w:rPr>
          <w:i/>
        </w:rPr>
        <w:t xml:space="preserve">až do června příštího roku. </w:t>
      </w:r>
      <w:r w:rsidR="00F043BD">
        <w:rPr>
          <w:i/>
        </w:rPr>
        <w:t>Vzhledem k rostoucí poptávce bychom r</w:t>
      </w:r>
      <w:r w:rsidR="00827512">
        <w:rPr>
          <w:i/>
        </w:rPr>
        <w:t>ádi rozšířili výrobu</w:t>
      </w:r>
      <w:r w:rsidR="00370B4D" w:rsidRPr="005B3D26">
        <w:rPr>
          <w:i/>
        </w:rPr>
        <w:t>, ale brzdí nás nedostatek pracovních sil</w:t>
      </w:r>
      <w:r w:rsidR="006176AF">
        <w:rPr>
          <w:i/>
        </w:rPr>
        <w:t xml:space="preserve"> v regionu, zejména manuálně zručných dělníků. </w:t>
      </w:r>
      <w:r w:rsidR="006176AF" w:rsidRPr="00E413C4">
        <w:rPr>
          <w:i/>
        </w:rPr>
        <w:t>N</w:t>
      </w:r>
      <w:r w:rsidR="00B26E01" w:rsidRPr="00E413C4">
        <w:rPr>
          <w:i/>
        </w:rPr>
        <w:t>abízíme propracovaný zaškolovací program</w:t>
      </w:r>
      <w:r w:rsidR="006176AF" w:rsidRPr="00E413C4">
        <w:rPr>
          <w:i/>
        </w:rPr>
        <w:t xml:space="preserve"> i pro lidi bez zkušeností, </w:t>
      </w:r>
      <w:r w:rsidR="00F043BD">
        <w:rPr>
          <w:i/>
        </w:rPr>
        <w:t>důležitá je pro nás hlavně loajalita a ochota pracovat</w:t>
      </w:r>
      <w:r w:rsidR="006176AF" w:rsidRPr="00E413C4">
        <w:rPr>
          <w:i/>
        </w:rPr>
        <w:t>.</w:t>
      </w:r>
      <w:r w:rsidR="006176AF">
        <w:rPr>
          <w:i/>
        </w:rPr>
        <w:t>“</w:t>
      </w:r>
      <w:r w:rsidR="006176AF" w:rsidRPr="00E413C4">
        <w:rPr>
          <w:i/>
        </w:rPr>
        <w:t xml:space="preserve"> </w:t>
      </w:r>
    </w:p>
    <w:p w14:paraId="190D3547" w14:textId="77777777" w:rsidR="008B0158" w:rsidRDefault="008B0158" w:rsidP="008B0158">
      <w:pPr>
        <w:spacing w:after="200" w:line="360" w:lineRule="auto"/>
        <w:jc w:val="right"/>
        <w:rPr>
          <w:i/>
          <w:sz w:val="18"/>
          <w:szCs w:val="18"/>
        </w:rPr>
      </w:pPr>
      <w:r w:rsidRPr="009A2A06">
        <w:rPr>
          <w:i/>
          <w:sz w:val="18"/>
          <w:szCs w:val="18"/>
        </w:rPr>
        <w:t>Výrobní závod Touax v</w:t>
      </w:r>
      <w:r>
        <w:rPr>
          <w:i/>
          <w:sz w:val="18"/>
          <w:szCs w:val="18"/>
        </w:rPr>
        <w:t> </w:t>
      </w:r>
      <w:r w:rsidRPr="009A2A06">
        <w:rPr>
          <w:i/>
          <w:sz w:val="18"/>
          <w:szCs w:val="18"/>
        </w:rPr>
        <w:t>Supíkovicích</w:t>
      </w:r>
    </w:p>
    <w:p w14:paraId="1F92ACC3" w14:textId="0B9C9AA1" w:rsidR="00702668" w:rsidRDefault="006B748B" w:rsidP="00702668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2C1461F" wp14:editId="122E5B5B">
            <wp:simplePos x="0" y="0"/>
            <wp:positionH relativeFrom="column">
              <wp:posOffset>2507615</wp:posOffset>
            </wp:positionH>
            <wp:positionV relativeFrom="paragraph">
              <wp:posOffset>1292225</wp:posOffset>
            </wp:positionV>
            <wp:extent cx="2372400" cy="1342800"/>
            <wp:effectExtent l="0" t="0" r="0" b="0"/>
            <wp:wrapTight wrapText="bothSides">
              <wp:wrapPolygon edited="0">
                <wp:start x="0" y="0"/>
                <wp:lineTo x="0" y="21150"/>
                <wp:lineTo x="21334" y="21150"/>
                <wp:lineTo x="213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 2015 bytove domy Hamburg_ext_6 objek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6FACE19" wp14:editId="34CEC87F">
            <wp:simplePos x="0" y="0"/>
            <wp:positionH relativeFrom="margin">
              <wp:align>left</wp:align>
            </wp:positionH>
            <wp:positionV relativeFrom="paragraph">
              <wp:posOffset>1292225</wp:posOffset>
            </wp:positionV>
            <wp:extent cx="2390400" cy="1353600"/>
            <wp:effectExtent l="0" t="0" r="0" b="0"/>
            <wp:wrapTight wrapText="bothSides">
              <wp:wrapPolygon edited="0">
                <wp:start x="0" y="0"/>
                <wp:lineTo x="0" y="21286"/>
                <wp:lineTo x="21348" y="21286"/>
                <wp:lineTo x="2134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 2015 bytove domy Hamburg_ext_7 objekt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00" cy="13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B4D">
        <w:t xml:space="preserve">V severoněmeckém </w:t>
      </w:r>
      <w:r w:rsidR="00702668" w:rsidRPr="00702668">
        <w:t>Hamburk</w:t>
      </w:r>
      <w:r w:rsidR="00370B4D">
        <w:t>u</w:t>
      </w:r>
      <w:r w:rsidR="00702668" w:rsidRPr="00702668">
        <w:t xml:space="preserve"> </w:t>
      </w:r>
      <w:r w:rsidR="00370B4D">
        <w:t xml:space="preserve">vyroste </w:t>
      </w:r>
      <w:r w:rsidR="006176AF">
        <w:t>z 6 typových objektů</w:t>
      </w:r>
      <w:r w:rsidR="008877CE">
        <w:t xml:space="preserve"> </w:t>
      </w:r>
      <w:r w:rsidR="00702668" w:rsidRPr="00702668">
        <w:t>40 dvou až třípodlažních budov</w:t>
      </w:r>
      <w:r w:rsidR="006176AF">
        <w:t xml:space="preserve"> o </w:t>
      </w:r>
      <w:r w:rsidR="00DF3D15">
        <w:t xml:space="preserve">celkové </w:t>
      </w:r>
      <w:r w:rsidR="006176AF">
        <w:t xml:space="preserve">ploše přes </w:t>
      </w:r>
      <w:r w:rsidR="006176AF" w:rsidRPr="00702668">
        <w:t>20</w:t>
      </w:r>
      <w:r w:rsidR="006176AF">
        <w:t xml:space="preserve"> </w:t>
      </w:r>
      <w:r w:rsidR="006176AF" w:rsidRPr="00702668">
        <w:t>000 m</w:t>
      </w:r>
      <w:r w:rsidR="006176AF" w:rsidRPr="00702668">
        <w:rPr>
          <w:vertAlign w:val="superscript"/>
        </w:rPr>
        <w:t>2</w:t>
      </w:r>
      <w:r w:rsidR="00370B4D">
        <w:t>. Každá se bude s</w:t>
      </w:r>
      <w:r w:rsidR="00702668" w:rsidRPr="00702668">
        <w:t>kláda</w:t>
      </w:r>
      <w:r w:rsidR="00370B4D">
        <w:t xml:space="preserve">t </w:t>
      </w:r>
      <w:r w:rsidR="00702668" w:rsidRPr="00702668">
        <w:t xml:space="preserve">z 8 </w:t>
      </w:r>
      <w:r w:rsidR="005B3D26">
        <w:t>až</w:t>
      </w:r>
      <w:r w:rsidR="00702668" w:rsidRPr="00702668">
        <w:t xml:space="preserve"> 12 plně vybavených bytů</w:t>
      </w:r>
      <w:r w:rsidR="00370B4D">
        <w:t xml:space="preserve"> s koupelnou a kuchyňkou. Nebude v nich chybět centrální vytápění</w:t>
      </w:r>
      <w:r w:rsidR="008877CE">
        <w:t xml:space="preserve"> nebo třeba připojení na TV, satelit a internet</w:t>
      </w:r>
      <w:r w:rsidR="00702668" w:rsidRPr="00702668">
        <w:t xml:space="preserve">. </w:t>
      </w:r>
      <w:r w:rsidR="00DF3D15">
        <w:t>Tato z</w:t>
      </w:r>
      <w:r w:rsidR="008877CE">
        <w:t>akázka navazuje na právě dokončený</w:t>
      </w:r>
      <w:r w:rsidR="008B0158">
        <w:t xml:space="preserve"> komplex devíti budov </w:t>
      </w:r>
      <w:r w:rsidR="008877CE">
        <w:t>s</w:t>
      </w:r>
      <w:r>
        <w:t> </w:t>
      </w:r>
      <w:r w:rsidR="008B0158">
        <w:t>osmi dvoupatrový</w:t>
      </w:r>
      <w:r w:rsidR="008877CE">
        <w:t>mi</w:t>
      </w:r>
      <w:r w:rsidR="008B0158">
        <w:t xml:space="preserve"> bytový</w:t>
      </w:r>
      <w:r w:rsidR="008877CE">
        <w:t>mi</w:t>
      </w:r>
      <w:r w:rsidR="008B0158">
        <w:t xml:space="preserve"> dom</w:t>
      </w:r>
      <w:r w:rsidR="008877CE">
        <w:t>y</w:t>
      </w:r>
      <w:r w:rsidR="008B0158">
        <w:t xml:space="preserve"> </w:t>
      </w:r>
      <w:r w:rsidR="008877CE">
        <w:t xml:space="preserve">a </w:t>
      </w:r>
      <w:r>
        <w:t>jedním přízemním, který bude sloužit jako prádelna, sušárna a sklad.</w:t>
      </w:r>
      <w:r w:rsidR="005B3D26">
        <w:t> </w:t>
      </w:r>
      <w:r>
        <w:t xml:space="preserve">V obytných budovách vyrostlo </w:t>
      </w:r>
      <w:r w:rsidR="008B0158">
        <w:t>celkem 30 byt</w:t>
      </w:r>
      <w:r w:rsidR="008877CE">
        <w:t>ový</w:t>
      </w:r>
      <w:r>
        <w:t xml:space="preserve">ch </w:t>
      </w:r>
      <w:r w:rsidR="008877CE">
        <w:t>jednot</w:t>
      </w:r>
      <w:r>
        <w:t>e</w:t>
      </w:r>
      <w:r w:rsidR="008877CE">
        <w:t>k</w:t>
      </w:r>
      <w:r w:rsidR="008B0158">
        <w:t xml:space="preserve"> v dispozicích 3+1 a 4+1. </w:t>
      </w:r>
      <w:r w:rsidR="008B0158" w:rsidRPr="005B3D26">
        <w:t xml:space="preserve">Ubytovny hotelového typu se společným sociálním zázemím, kuchyňkou, prádelnou a sušárnou Touax realizuje v městech Leverkusen, Mnichov, Sulzbach či Sankt Augustin. </w:t>
      </w:r>
    </w:p>
    <w:p w14:paraId="42757B01" w14:textId="34805A90" w:rsidR="006B748B" w:rsidRDefault="006B748B" w:rsidP="00702668">
      <w:pPr>
        <w:spacing w:after="200" w:line="360" w:lineRule="auto"/>
        <w:jc w:val="both"/>
      </w:pPr>
    </w:p>
    <w:p w14:paraId="7E4BA2F2" w14:textId="77777777" w:rsidR="006B748B" w:rsidRDefault="006B748B" w:rsidP="00E413C4">
      <w:pPr>
        <w:spacing w:after="200" w:line="360" w:lineRule="auto"/>
        <w:rPr>
          <w:i/>
          <w:sz w:val="18"/>
          <w:szCs w:val="18"/>
        </w:rPr>
      </w:pPr>
    </w:p>
    <w:p w14:paraId="36B72490" w14:textId="77777777" w:rsidR="006B748B" w:rsidRDefault="006B748B" w:rsidP="00E413C4">
      <w:pPr>
        <w:spacing w:after="200" w:line="360" w:lineRule="auto"/>
        <w:rPr>
          <w:i/>
          <w:sz w:val="18"/>
          <w:szCs w:val="18"/>
        </w:rPr>
      </w:pPr>
    </w:p>
    <w:p w14:paraId="2B026B86" w14:textId="77777777" w:rsidR="006B748B" w:rsidRDefault="006B748B" w:rsidP="00E413C4">
      <w:pPr>
        <w:spacing w:after="200" w:line="360" w:lineRule="auto"/>
        <w:rPr>
          <w:i/>
          <w:sz w:val="18"/>
          <w:szCs w:val="18"/>
        </w:rPr>
      </w:pPr>
    </w:p>
    <w:p w14:paraId="1094B56A" w14:textId="4C6B8E19" w:rsidR="006B748B" w:rsidRPr="00E413C4" w:rsidRDefault="006B748B" w:rsidP="00E413C4">
      <w:pPr>
        <w:spacing w:after="200" w:line="360" w:lineRule="auto"/>
        <w:rPr>
          <w:i/>
          <w:sz w:val="18"/>
          <w:szCs w:val="18"/>
        </w:rPr>
      </w:pPr>
      <w:r w:rsidRPr="00E413C4">
        <w:rPr>
          <w:i/>
          <w:sz w:val="18"/>
          <w:szCs w:val="18"/>
        </w:rPr>
        <w:t>Dokončený komplex 9 modulových budov pro ubytování uprchlíků v německém Hamburku</w:t>
      </w:r>
    </w:p>
    <w:p w14:paraId="5C92B1AD" w14:textId="77777777" w:rsidR="006B748B" w:rsidRDefault="006B748B" w:rsidP="00DE5A79">
      <w:pPr>
        <w:spacing w:line="360" w:lineRule="auto"/>
        <w:ind w:left="360" w:right="279"/>
        <w:jc w:val="both"/>
        <w:outlineLvl w:val="0"/>
      </w:pPr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59FD76E" w14:textId="67F7BED1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448C9575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 xml:space="preserve">pronajímá tato hmotná </w:t>
      </w:r>
      <w:r w:rsidRPr="005315B1">
        <w:rPr>
          <w:rFonts w:ascii="Arial" w:hAnsi="Arial" w:cs="Arial"/>
          <w:sz w:val="18"/>
          <w:szCs w:val="18"/>
        </w:rPr>
        <w:lastRenderedPageBreak/>
        <w:t>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4BF7C75E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31 613 618</w:t>
      </w:r>
    </w:p>
    <w:p w14:paraId="52BD9B09" w14:textId="6AE71103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1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2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/>
    <w:sectPr w:rsidR="005223A3" w:rsidRPr="001B7CBE" w:rsidSect="000D67AA">
      <w:headerReference w:type="default" r:id="rId13"/>
      <w:footerReference w:type="default" r:id="rId14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F47D" w14:textId="77777777" w:rsidR="00816674" w:rsidRDefault="00816674" w:rsidP="00EE3EA8">
      <w:r>
        <w:separator/>
      </w:r>
    </w:p>
  </w:endnote>
  <w:endnote w:type="continuationSeparator" w:id="0">
    <w:p w14:paraId="5C41B63C" w14:textId="77777777" w:rsidR="00816674" w:rsidRDefault="00816674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9F07" w14:textId="77777777" w:rsidR="00816674" w:rsidRDefault="00816674" w:rsidP="00EE3EA8">
      <w:r>
        <w:separator/>
      </w:r>
    </w:p>
  </w:footnote>
  <w:footnote w:type="continuationSeparator" w:id="0">
    <w:p w14:paraId="7D77EB80" w14:textId="77777777" w:rsidR="00816674" w:rsidRDefault="00816674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C40C95"/>
    <w:multiLevelType w:val="multilevel"/>
    <w:tmpl w:val="B356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12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71741"/>
    <w:rsid w:val="000779D3"/>
    <w:rsid w:val="00090E5E"/>
    <w:rsid w:val="000930E3"/>
    <w:rsid w:val="000A22E1"/>
    <w:rsid w:val="000C0E34"/>
    <w:rsid w:val="000C4665"/>
    <w:rsid w:val="000C73AD"/>
    <w:rsid w:val="000C7781"/>
    <w:rsid w:val="000D67AA"/>
    <w:rsid w:val="000F0FFD"/>
    <w:rsid w:val="000F1A29"/>
    <w:rsid w:val="000F68C6"/>
    <w:rsid w:val="000F6B7F"/>
    <w:rsid w:val="00110626"/>
    <w:rsid w:val="00126CC8"/>
    <w:rsid w:val="001278A0"/>
    <w:rsid w:val="001430C1"/>
    <w:rsid w:val="001443CD"/>
    <w:rsid w:val="00163911"/>
    <w:rsid w:val="001754DD"/>
    <w:rsid w:val="00177267"/>
    <w:rsid w:val="00184A8C"/>
    <w:rsid w:val="00194935"/>
    <w:rsid w:val="001B7CBE"/>
    <w:rsid w:val="001C3B7C"/>
    <w:rsid w:val="001F2CE5"/>
    <w:rsid w:val="001F6135"/>
    <w:rsid w:val="0020756D"/>
    <w:rsid w:val="00217F14"/>
    <w:rsid w:val="00224AC8"/>
    <w:rsid w:val="00245F3E"/>
    <w:rsid w:val="00253450"/>
    <w:rsid w:val="002579B4"/>
    <w:rsid w:val="0027140C"/>
    <w:rsid w:val="002958A1"/>
    <w:rsid w:val="002972C1"/>
    <w:rsid w:val="002A1C7D"/>
    <w:rsid w:val="002A2084"/>
    <w:rsid w:val="002A37EC"/>
    <w:rsid w:val="002B1A32"/>
    <w:rsid w:val="002B5B05"/>
    <w:rsid w:val="002B699C"/>
    <w:rsid w:val="002B6A2E"/>
    <w:rsid w:val="002C346E"/>
    <w:rsid w:val="002D7311"/>
    <w:rsid w:val="002E3A37"/>
    <w:rsid w:val="002E4900"/>
    <w:rsid w:val="002F102F"/>
    <w:rsid w:val="002F1919"/>
    <w:rsid w:val="003103B6"/>
    <w:rsid w:val="003141FB"/>
    <w:rsid w:val="00314316"/>
    <w:rsid w:val="003270B4"/>
    <w:rsid w:val="00342DAA"/>
    <w:rsid w:val="00343C11"/>
    <w:rsid w:val="003447E5"/>
    <w:rsid w:val="00350735"/>
    <w:rsid w:val="0036361A"/>
    <w:rsid w:val="00370B4D"/>
    <w:rsid w:val="00384178"/>
    <w:rsid w:val="00385B95"/>
    <w:rsid w:val="00386F20"/>
    <w:rsid w:val="00390496"/>
    <w:rsid w:val="003904F9"/>
    <w:rsid w:val="003935D1"/>
    <w:rsid w:val="003A084D"/>
    <w:rsid w:val="003D3DCF"/>
    <w:rsid w:val="003E0852"/>
    <w:rsid w:val="003E48D6"/>
    <w:rsid w:val="003E59E0"/>
    <w:rsid w:val="003E7694"/>
    <w:rsid w:val="00403B78"/>
    <w:rsid w:val="00410AE3"/>
    <w:rsid w:val="00421A50"/>
    <w:rsid w:val="00427533"/>
    <w:rsid w:val="00435289"/>
    <w:rsid w:val="00436A8C"/>
    <w:rsid w:val="00437ED5"/>
    <w:rsid w:val="004404BD"/>
    <w:rsid w:val="004446E0"/>
    <w:rsid w:val="00446521"/>
    <w:rsid w:val="0044727A"/>
    <w:rsid w:val="004718C1"/>
    <w:rsid w:val="004722BC"/>
    <w:rsid w:val="004804A1"/>
    <w:rsid w:val="004926BB"/>
    <w:rsid w:val="00492DB7"/>
    <w:rsid w:val="0049408E"/>
    <w:rsid w:val="00494DBB"/>
    <w:rsid w:val="004A0E4C"/>
    <w:rsid w:val="004A1E1F"/>
    <w:rsid w:val="004B1B71"/>
    <w:rsid w:val="004B2AF5"/>
    <w:rsid w:val="004B6044"/>
    <w:rsid w:val="004F0861"/>
    <w:rsid w:val="00501A14"/>
    <w:rsid w:val="00515971"/>
    <w:rsid w:val="00517065"/>
    <w:rsid w:val="00520E3B"/>
    <w:rsid w:val="005223A3"/>
    <w:rsid w:val="005240EE"/>
    <w:rsid w:val="00532E8E"/>
    <w:rsid w:val="00567D43"/>
    <w:rsid w:val="005708F6"/>
    <w:rsid w:val="005765CF"/>
    <w:rsid w:val="00587009"/>
    <w:rsid w:val="00597F1B"/>
    <w:rsid w:val="005A137C"/>
    <w:rsid w:val="005A40A5"/>
    <w:rsid w:val="005B3D26"/>
    <w:rsid w:val="005B7DCC"/>
    <w:rsid w:val="005D0ED6"/>
    <w:rsid w:val="005E35FB"/>
    <w:rsid w:val="0060032C"/>
    <w:rsid w:val="00606745"/>
    <w:rsid w:val="0060780B"/>
    <w:rsid w:val="006117BF"/>
    <w:rsid w:val="006176AF"/>
    <w:rsid w:val="00620847"/>
    <w:rsid w:val="006237AD"/>
    <w:rsid w:val="006518DA"/>
    <w:rsid w:val="00652E13"/>
    <w:rsid w:val="00656CE4"/>
    <w:rsid w:val="0067131B"/>
    <w:rsid w:val="0068718D"/>
    <w:rsid w:val="006A0B12"/>
    <w:rsid w:val="006A1758"/>
    <w:rsid w:val="006B1652"/>
    <w:rsid w:val="006B3F66"/>
    <w:rsid w:val="006B748B"/>
    <w:rsid w:val="006B7EC3"/>
    <w:rsid w:val="006C3A87"/>
    <w:rsid w:val="006D31A4"/>
    <w:rsid w:val="006D3926"/>
    <w:rsid w:val="006D406A"/>
    <w:rsid w:val="006E23A8"/>
    <w:rsid w:val="006E31B9"/>
    <w:rsid w:val="006F4A5A"/>
    <w:rsid w:val="006F4E79"/>
    <w:rsid w:val="006F5869"/>
    <w:rsid w:val="00702668"/>
    <w:rsid w:val="00705386"/>
    <w:rsid w:val="00726622"/>
    <w:rsid w:val="00737DB8"/>
    <w:rsid w:val="00750CDB"/>
    <w:rsid w:val="0076446D"/>
    <w:rsid w:val="00791582"/>
    <w:rsid w:val="00794104"/>
    <w:rsid w:val="007A20D8"/>
    <w:rsid w:val="007B5207"/>
    <w:rsid w:val="007B5DB5"/>
    <w:rsid w:val="007C1C7F"/>
    <w:rsid w:val="007F4230"/>
    <w:rsid w:val="007F453D"/>
    <w:rsid w:val="007F6189"/>
    <w:rsid w:val="00801D07"/>
    <w:rsid w:val="00805D99"/>
    <w:rsid w:val="00816674"/>
    <w:rsid w:val="0082230A"/>
    <w:rsid w:val="00826244"/>
    <w:rsid w:val="00827512"/>
    <w:rsid w:val="00851DFF"/>
    <w:rsid w:val="00863454"/>
    <w:rsid w:val="00871A2F"/>
    <w:rsid w:val="00871EF4"/>
    <w:rsid w:val="00873639"/>
    <w:rsid w:val="00883AB4"/>
    <w:rsid w:val="008876F2"/>
    <w:rsid w:val="008877CE"/>
    <w:rsid w:val="008B0158"/>
    <w:rsid w:val="008B508A"/>
    <w:rsid w:val="008C39EB"/>
    <w:rsid w:val="008D120D"/>
    <w:rsid w:val="008D7153"/>
    <w:rsid w:val="008E02CB"/>
    <w:rsid w:val="008E2D87"/>
    <w:rsid w:val="008E40C0"/>
    <w:rsid w:val="008F0D42"/>
    <w:rsid w:val="008F13D2"/>
    <w:rsid w:val="00901CAB"/>
    <w:rsid w:val="00914405"/>
    <w:rsid w:val="00915577"/>
    <w:rsid w:val="00916363"/>
    <w:rsid w:val="00920A55"/>
    <w:rsid w:val="00922265"/>
    <w:rsid w:val="00922884"/>
    <w:rsid w:val="00933033"/>
    <w:rsid w:val="00940E7A"/>
    <w:rsid w:val="00947429"/>
    <w:rsid w:val="0094745F"/>
    <w:rsid w:val="009479C2"/>
    <w:rsid w:val="00951C72"/>
    <w:rsid w:val="00961800"/>
    <w:rsid w:val="00974B75"/>
    <w:rsid w:val="00974F6C"/>
    <w:rsid w:val="00984281"/>
    <w:rsid w:val="009847B8"/>
    <w:rsid w:val="00990FB9"/>
    <w:rsid w:val="009955AC"/>
    <w:rsid w:val="0099641E"/>
    <w:rsid w:val="009A3036"/>
    <w:rsid w:val="009B6553"/>
    <w:rsid w:val="009C1322"/>
    <w:rsid w:val="009D3597"/>
    <w:rsid w:val="00A055A4"/>
    <w:rsid w:val="00A12061"/>
    <w:rsid w:val="00A136E3"/>
    <w:rsid w:val="00A15840"/>
    <w:rsid w:val="00A15911"/>
    <w:rsid w:val="00A20E14"/>
    <w:rsid w:val="00A30C3C"/>
    <w:rsid w:val="00A3583C"/>
    <w:rsid w:val="00A37441"/>
    <w:rsid w:val="00A41440"/>
    <w:rsid w:val="00A477C7"/>
    <w:rsid w:val="00A61844"/>
    <w:rsid w:val="00A67626"/>
    <w:rsid w:val="00A70924"/>
    <w:rsid w:val="00A71A67"/>
    <w:rsid w:val="00A7756C"/>
    <w:rsid w:val="00A90DE8"/>
    <w:rsid w:val="00A91502"/>
    <w:rsid w:val="00A9150C"/>
    <w:rsid w:val="00A934E0"/>
    <w:rsid w:val="00A978DD"/>
    <w:rsid w:val="00AB3DCE"/>
    <w:rsid w:val="00AC5CF3"/>
    <w:rsid w:val="00AD7FCF"/>
    <w:rsid w:val="00AE00FD"/>
    <w:rsid w:val="00AE312B"/>
    <w:rsid w:val="00B00FF3"/>
    <w:rsid w:val="00B078FC"/>
    <w:rsid w:val="00B0796D"/>
    <w:rsid w:val="00B07DD1"/>
    <w:rsid w:val="00B104A3"/>
    <w:rsid w:val="00B1575B"/>
    <w:rsid w:val="00B26E01"/>
    <w:rsid w:val="00B359F1"/>
    <w:rsid w:val="00B44330"/>
    <w:rsid w:val="00B51FF4"/>
    <w:rsid w:val="00B56BF6"/>
    <w:rsid w:val="00B601D6"/>
    <w:rsid w:val="00B75763"/>
    <w:rsid w:val="00B912CB"/>
    <w:rsid w:val="00BA151B"/>
    <w:rsid w:val="00BA4C34"/>
    <w:rsid w:val="00BB641E"/>
    <w:rsid w:val="00BB72F1"/>
    <w:rsid w:val="00BC2C27"/>
    <w:rsid w:val="00BC40D9"/>
    <w:rsid w:val="00BC4670"/>
    <w:rsid w:val="00BD7018"/>
    <w:rsid w:val="00BE7200"/>
    <w:rsid w:val="00BF1ED8"/>
    <w:rsid w:val="00BF26D0"/>
    <w:rsid w:val="00BF7956"/>
    <w:rsid w:val="00C0073A"/>
    <w:rsid w:val="00C07EB4"/>
    <w:rsid w:val="00C1106B"/>
    <w:rsid w:val="00C114B0"/>
    <w:rsid w:val="00C2122E"/>
    <w:rsid w:val="00C36922"/>
    <w:rsid w:val="00C36ACB"/>
    <w:rsid w:val="00C45F79"/>
    <w:rsid w:val="00C51357"/>
    <w:rsid w:val="00C53141"/>
    <w:rsid w:val="00C5511A"/>
    <w:rsid w:val="00C57658"/>
    <w:rsid w:val="00C57E1B"/>
    <w:rsid w:val="00C628EA"/>
    <w:rsid w:val="00C66442"/>
    <w:rsid w:val="00C817D0"/>
    <w:rsid w:val="00C93D83"/>
    <w:rsid w:val="00CA335D"/>
    <w:rsid w:val="00CC5564"/>
    <w:rsid w:val="00CD25E1"/>
    <w:rsid w:val="00CD3D89"/>
    <w:rsid w:val="00D05C1C"/>
    <w:rsid w:val="00D21A4A"/>
    <w:rsid w:val="00D32EC0"/>
    <w:rsid w:val="00D333FD"/>
    <w:rsid w:val="00D37271"/>
    <w:rsid w:val="00D4115A"/>
    <w:rsid w:val="00D54FC2"/>
    <w:rsid w:val="00D700E9"/>
    <w:rsid w:val="00D76D93"/>
    <w:rsid w:val="00DA5BEC"/>
    <w:rsid w:val="00DE27B9"/>
    <w:rsid w:val="00DE4A42"/>
    <w:rsid w:val="00DE4D86"/>
    <w:rsid w:val="00DE5A79"/>
    <w:rsid w:val="00DF2DF3"/>
    <w:rsid w:val="00DF3D15"/>
    <w:rsid w:val="00DF5AAF"/>
    <w:rsid w:val="00E02CF3"/>
    <w:rsid w:val="00E11996"/>
    <w:rsid w:val="00E20FF8"/>
    <w:rsid w:val="00E408E7"/>
    <w:rsid w:val="00E413C4"/>
    <w:rsid w:val="00E54ACB"/>
    <w:rsid w:val="00E65038"/>
    <w:rsid w:val="00E65ED0"/>
    <w:rsid w:val="00E662ED"/>
    <w:rsid w:val="00E67E07"/>
    <w:rsid w:val="00E7452C"/>
    <w:rsid w:val="00E76B35"/>
    <w:rsid w:val="00E92AE5"/>
    <w:rsid w:val="00E95E28"/>
    <w:rsid w:val="00E97185"/>
    <w:rsid w:val="00EA4392"/>
    <w:rsid w:val="00EB1371"/>
    <w:rsid w:val="00EB725F"/>
    <w:rsid w:val="00EB7666"/>
    <w:rsid w:val="00ED712F"/>
    <w:rsid w:val="00EE0EB1"/>
    <w:rsid w:val="00EE3EA8"/>
    <w:rsid w:val="00EE60F2"/>
    <w:rsid w:val="00EF0C14"/>
    <w:rsid w:val="00EF4D06"/>
    <w:rsid w:val="00F03D42"/>
    <w:rsid w:val="00F043BD"/>
    <w:rsid w:val="00F04456"/>
    <w:rsid w:val="00F234E6"/>
    <w:rsid w:val="00F24DFC"/>
    <w:rsid w:val="00F27DE0"/>
    <w:rsid w:val="00F533C0"/>
    <w:rsid w:val="00F702C4"/>
    <w:rsid w:val="00F8164C"/>
    <w:rsid w:val="00F83075"/>
    <w:rsid w:val="00F94093"/>
    <w:rsid w:val="00F96C3D"/>
    <w:rsid w:val="00FA2B49"/>
    <w:rsid w:val="00FB107B"/>
    <w:rsid w:val="00FB109E"/>
    <w:rsid w:val="00FD6E32"/>
    <w:rsid w:val="00FD71ED"/>
    <w:rsid w:val="00FE6C57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  <w:style w:type="character" w:styleId="CittHTML">
    <w:name w:val="HTML Cite"/>
    <w:basedOn w:val="Standardnpsmoodstavce"/>
    <w:uiPriority w:val="99"/>
    <w:semiHidden/>
    <w:unhideWhenUsed/>
    <w:rsid w:val="00E408E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71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62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petr@touax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EAC6-F66E-4A9B-B723-0DE86104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Marcela Kukaňová</cp:lastModifiedBy>
  <cp:revision>4</cp:revision>
  <cp:lastPrinted>2015-10-13T14:57:00Z</cp:lastPrinted>
  <dcterms:created xsi:type="dcterms:W3CDTF">2015-10-13T15:41:00Z</dcterms:created>
  <dcterms:modified xsi:type="dcterms:W3CDTF">2015-10-13T15:44:00Z</dcterms:modified>
</cp:coreProperties>
</file>